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30" w:rsidRPr="00675EDC" w:rsidRDefault="00124730" w:rsidP="0012473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124730" w:rsidRDefault="00124730" w:rsidP="00124730">
      <w:pPr>
        <w:jc w:val="center"/>
        <w:rPr>
          <w:b/>
        </w:rPr>
      </w:pPr>
    </w:p>
    <w:p w:rsidR="00124730" w:rsidRPr="00BB2D08" w:rsidRDefault="00124730" w:rsidP="00124730">
      <w:pPr>
        <w:jc w:val="center"/>
        <w:rPr>
          <w:b/>
        </w:rPr>
      </w:pPr>
      <w:r w:rsidRPr="00BB2D08">
        <w:rPr>
          <w:b/>
        </w:rPr>
        <w:t>ПАСПОРТ</w:t>
      </w:r>
    </w:p>
    <w:p w:rsidR="00124730" w:rsidRPr="00BB2D08" w:rsidRDefault="00124730" w:rsidP="00124730">
      <w:pPr>
        <w:jc w:val="center"/>
        <w:rPr>
          <w:b/>
        </w:rPr>
      </w:pPr>
      <w:r w:rsidRPr="00BB2D08">
        <w:rPr>
          <w:b/>
        </w:rPr>
        <w:t xml:space="preserve">муниципальной программы </w:t>
      </w:r>
    </w:p>
    <w:p w:rsidR="00124730" w:rsidRPr="00BB2D08" w:rsidRDefault="00124730" w:rsidP="00124730">
      <w:pPr>
        <w:jc w:val="center"/>
      </w:pPr>
      <w:r>
        <w:rPr>
          <w:b/>
        </w:rPr>
        <w:t>«Чистая вода</w:t>
      </w:r>
      <w:r w:rsidRPr="00BB2D08">
        <w:rPr>
          <w:b/>
        </w:rPr>
        <w:t xml:space="preserve"> в муниципальном образовании городское поселение «Город Малоярославец» </w:t>
      </w:r>
      <w:r w:rsidRPr="00BB2D08">
        <w:t xml:space="preserve">(далее </w:t>
      </w:r>
      <w:proofErr w:type="gramStart"/>
      <w:r w:rsidRPr="00BB2D08">
        <w:t>–м</w:t>
      </w:r>
      <w:proofErr w:type="gramEnd"/>
      <w:r w:rsidRPr="00BB2D08">
        <w:t>униципальная программа)</w:t>
      </w:r>
    </w:p>
    <w:tbl>
      <w:tblPr>
        <w:tblW w:w="9782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4"/>
        <w:gridCol w:w="1788"/>
        <w:gridCol w:w="2268"/>
        <w:gridCol w:w="1531"/>
        <w:gridCol w:w="1711"/>
        <w:gridCol w:w="160"/>
      </w:tblGrid>
      <w:tr w:rsidR="00124730" w:rsidRPr="00BB2D08" w:rsidTr="00161DB8">
        <w:trPr>
          <w:trHeight w:val="909"/>
        </w:trPr>
        <w:tc>
          <w:tcPr>
            <w:tcW w:w="23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r w:rsidRPr="00BB2D08">
              <w:t>1. Ответственный исполнитель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r w:rsidRPr="00BB2D08">
              <w:rPr>
                <w:color w:val="000000"/>
                <w:spacing w:val="10"/>
              </w:rPr>
              <w:t xml:space="preserve">Отдел по управлению муниципальным имуществом и жилищно-коммунальному хозяйству администрации МО ГП «Город Малоярославец» </w:t>
            </w:r>
          </w:p>
        </w:tc>
      </w:tr>
      <w:tr w:rsidR="00124730" w:rsidRPr="00BB2D08" w:rsidTr="00161DB8">
        <w:trPr>
          <w:trHeight w:val="66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r w:rsidRPr="00BB2D08">
              <w:t>2.Участники 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roofErr w:type="gramStart"/>
            <w:r w:rsidRPr="00BB2D08">
              <w:t>Отдел по капитальному строительству и технической инспекции администрации МО ГП «Город Малоярославец» (далее</w:t>
            </w:r>
            <w:r>
              <w:t xml:space="preserve"> </w:t>
            </w:r>
            <w:r w:rsidRPr="00BB2D08">
              <w:t>- ОКС и ТИ),  УМП «Водоканал», организации, осуществляющие деятельность в сфере жилищно-коммунального хозяйства, отобранные в порядке, предусмотренном действующем законодательством</w:t>
            </w:r>
            <w:r>
              <w:t xml:space="preserve"> (</w:t>
            </w:r>
            <w:proofErr w:type="spellStart"/>
            <w:r>
              <w:t>далее-Организации</w:t>
            </w:r>
            <w:proofErr w:type="spellEnd"/>
            <w:proofErr w:type="gramEnd"/>
          </w:p>
        </w:tc>
      </w:tr>
      <w:tr w:rsidR="00124730" w:rsidRPr="00BB2D08" w:rsidTr="00161DB8">
        <w:trPr>
          <w:trHeight w:val="1162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r w:rsidRPr="00BB2D08">
              <w:t>3. Цели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Pr>
              <w:ind w:left="147"/>
              <w:jc w:val="both"/>
            </w:pPr>
            <w:r w:rsidRPr="00BB2D08">
              <w:t>- обеспечение населения муниципального образования городское поселение «Город Малоярославец» питьевой водой, соответствующей требованиям безопасности и безвредности, установленным санитарно-эпидемиологическими правилами и нормами в достаточном количестве в интересах удовлетворения жизненных потребностей и охраны здоровья</w:t>
            </w:r>
          </w:p>
          <w:p w:rsidR="00124730" w:rsidRPr="00BB2D08" w:rsidRDefault="00124730" w:rsidP="00161DB8">
            <w:pPr>
              <w:ind w:left="147"/>
              <w:jc w:val="both"/>
            </w:pPr>
            <w:r w:rsidRPr="00BB2D08">
              <w:t>- доведение качества очистки сточных вод до нормативных значений</w:t>
            </w:r>
          </w:p>
        </w:tc>
      </w:tr>
      <w:tr w:rsidR="00124730" w:rsidRPr="00BB2D08" w:rsidTr="00161DB8">
        <w:trPr>
          <w:trHeight w:val="188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r w:rsidRPr="00BB2D08">
              <w:t>4. Задачи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BB2D08">
              <w:rPr>
                <w:rFonts w:ascii="Times New Roman" w:hAnsi="Times New Roman" w:cs="Times New Roman"/>
                <w:spacing w:val="-3"/>
                <w:szCs w:val="24"/>
              </w:rPr>
              <w:t xml:space="preserve">- проведение работ по реконструкции и модернизации </w:t>
            </w:r>
            <w:r w:rsidRPr="00BB2D08">
              <w:rPr>
                <w:rFonts w:ascii="Times New Roman" w:hAnsi="Times New Roman" w:cs="Times New Roman"/>
                <w:szCs w:val="24"/>
              </w:rPr>
              <w:t>объектов централизованного водоснабжения, водоотведения и очистке сточных вод;</w:t>
            </w:r>
          </w:p>
          <w:p w:rsidR="00124730" w:rsidRPr="00BB2D08" w:rsidRDefault="00124730" w:rsidP="00161DB8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BB2D08">
              <w:rPr>
                <w:rFonts w:ascii="Times New Roman" w:hAnsi="Times New Roman" w:cs="Times New Roman"/>
                <w:szCs w:val="24"/>
              </w:rPr>
              <w:t>- восстановление, охрана и рациональное использование источников питьевого водоснабжения;</w:t>
            </w:r>
          </w:p>
          <w:p w:rsidR="00124730" w:rsidRPr="00BB2D08" w:rsidRDefault="00124730" w:rsidP="00161DB8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BB2D08">
              <w:rPr>
                <w:rFonts w:ascii="Times New Roman" w:hAnsi="Times New Roman" w:cs="Times New Roman"/>
                <w:szCs w:val="24"/>
              </w:rPr>
              <w:t>- проведение мероприятий, направленных на рациональное водопользование и снижение объема потерь питьевой воды</w:t>
            </w:r>
          </w:p>
        </w:tc>
      </w:tr>
      <w:tr w:rsidR="00124730" w:rsidRPr="00BB2D08" w:rsidTr="00161DB8">
        <w:trPr>
          <w:trHeight w:val="87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Pr>
              <w:autoSpaceDE w:val="0"/>
              <w:autoSpaceDN w:val="0"/>
              <w:adjustRightInd w:val="0"/>
            </w:pPr>
            <w:r w:rsidRPr="00BB2D08">
              <w:t>5. Перечень основных мероприятий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>Основное мероприятие  «Восстановление и развитие эксплуатационно-технического состояния объектов водопроводно-канализационного комплекса»</w:t>
            </w:r>
          </w:p>
        </w:tc>
      </w:tr>
      <w:tr w:rsidR="00124730" w:rsidRPr="00BB2D08" w:rsidTr="00161DB8">
        <w:trPr>
          <w:trHeight w:val="81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Pr>
              <w:autoSpaceDE w:val="0"/>
              <w:autoSpaceDN w:val="0"/>
              <w:adjustRightInd w:val="0"/>
            </w:pPr>
            <w:r w:rsidRPr="00BB2D08">
              <w:t xml:space="preserve">6.Индикаторы (целевые показатели) </w:t>
            </w:r>
            <w:proofErr w:type="gramStart"/>
            <w:r w:rsidRPr="00BB2D08">
              <w:t>муниципальной</w:t>
            </w:r>
            <w:proofErr w:type="gramEnd"/>
          </w:p>
          <w:p w:rsidR="00124730" w:rsidRPr="00BB2D08" w:rsidRDefault="00124730" w:rsidP="00161DB8">
            <w:pPr>
              <w:autoSpaceDE w:val="0"/>
              <w:autoSpaceDN w:val="0"/>
              <w:adjustRightInd w:val="0"/>
            </w:pPr>
            <w:r w:rsidRPr="00BB2D08">
              <w:t>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>Доля населения, имеющего доступ к централизованному водоснабжению и канализационной системе</w:t>
            </w:r>
            <w:proofErr w:type="gramStart"/>
            <w:r w:rsidRPr="00BB2D08">
              <w:t xml:space="preserve"> - % ;</w:t>
            </w:r>
            <w:proofErr w:type="gramEnd"/>
          </w:p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>Доля населения, потребляющего питьевую воду надлежащего качества</w:t>
            </w:r>
            <w:proofErr w:type="gramStart"/>
            <w:r w:rsidRPr="00BB2D08">
              <w:t xml:space="preserve"> - %;</w:t>
            </w:r>
            <w:proofErr w:type="gramEnd"/>
          </w:p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>Уровень потери воды в сетях централизованного водоснабжения, в том числе из-за аварий</w:t>
            </w:r>
            <w:proofErr w:type="gramStart"/>
            <w:r w:rsidRPr="00BB2D08">
              <w:t xml:space="preserve"> - %; </w:t>
            </w:r>
            <w:proofErr w:type="gramEnd"/>
          </w:p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>Доля уличной водопроводной сети, нуждающейся в замене</w:t>
            </w:r>
            <w:proofErr w:type="gramStart"/>
            <w:r w:rsidRPr="00BB2D08">
              <w:t xml:space="preserve"> - %;</w:t>
            </w:r>
            <w:proofErr w:type="gramEnd"/>
          </w:p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>Доля уличной канализационной сети, нуждающейся в замене - %</w:t>
            </w:r>
          </w:p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 xml:space="preserve">Количество отремонтированных объектов водоснабжения – ед. </w:t>
            </w:r>
          </w:p>
          <w:p w:rsidR="00124730" w:rsidRPr="00BB2D08" w:rsidRDefault="00124730" w:rsidP="00161DB8">
            <w:pPr>
              <w:autoSpaceDE w:val="0"/>
              <w:autoSpaceDN w:val="0"/>
              <w:adjustRightInd w:val="0"/>
              <w:jc w:val="both"/>
            </w:pPr>
            <w:r w:rsidRPr="00BB2D08">
              <w:t>Количество восстановленного и реконструированного водопроводно-канализационного комплекса – ед.</w:t>
            </w:r>
          </w:p>
        </w:tc>
      </w:tr>
      <w:tr w:rsidR="00124730" w:rsidRPr="00BB2D08" w:rsidTr="00161DB8">
        <w:trPr>
          <w:trHeight w:val="60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pPr>
              <w:autoSpaceDE w:val="0"/>
              <w:autoSpaceDN w:val="0"/>
              <w:adjustRightInd w:val="0"/>
            </w:pPr>
            <w:r w:rsidRPr="00BB2D08">
              <w:lastRenderedPageBreak/>
              <w:t>7. Сроки и этапы реализации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4730" w:rsidRPr="00BB2D08" w:rsidRDefault="00124730" w:rsidP="00161DB8">
            <w:r w:rsidRPr="00BB2D08">
              <w:t>2020 – 2025 годы,  в один этап</w:t>
            </w: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8"/>
        </w:trPr>
        <w:tc>
          <w:tcPr>
            <w:tcW w:w="23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B2D08">
              <w:rPr>
                <w:rFonts w:ascii="Times New Roman" w:hAnsi="Times New Roman"/>
                <w:sz w:val="24"/>
                <w:szCs w:val="24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годы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областной бюджет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итого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1 440,000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1 440,000</w:t>
            </w: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6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2021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1 400,000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1 400,000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28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1 400,000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1 400,000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2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 644,100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  644,100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Cell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2024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1 590,000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  <w:r>
              <w:rPr>
                <w:iCs/>
              </w:rPr>
              <w:t xml:space="preserve">     1 590,000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2025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1 212,000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  <w:r>
              <w:rPr>
                <w:iCs/>
              </w:rPr>
              <w:t xml:space="preserve">     1 212,000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7 609,264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jc w:val="center"/>
              <w:rPr>
                <w:iCs/>
              </w:rPr>
            </w:pPr>
            <w:r>
              <w:rPr>
                <w:iCs/>
              </w:rPr>
              <w:t>0,000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  <w:r>
              <w:rPr>
                <w:iCs/>
              </w:rPr>
              <w:t xml:space="preserve">     7 609,264</w:t>
            </w:r>
          </w:p>
        </w:tc>
        <w:tc>
          <w:tcPr>
            <w:tcW w:w="1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</w:p>
        </w:tc>
      </w:tr>
      <w:tr w:rsidR="00124730" w:rsidRPr="00BB2D08" w:rsidTr="00161DB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730" w:rsidRPr="00BB2D08" w:rsidRDefault="00124730" w:rsidP="00161DB8">
            <w:pPr>
              <w:shd w:val="clear" w:color="auto" w:fill="FFFFFF"/>
              <w:tabs>
                <w:tab w:val="left" w:pos="514"/>
              </w:tabs>
              <w:rPr>
                <w:iCs/>
              </w:rPr>
            </w:pPr>
            <w:r w:rsidRPr="00BB2D08"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974B15" w:rsidRDefault="00974B15"/>
    <w:sectPr w:rsidR="00974B15" w:rsidSect="00E902A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2B0" w:rsidRDefault="00C442B0" w:rsidP="00C442B0">
      <w:r>
        <w:separator/>
      </w:r>
    </w:p>
  </w:endnote>
  <w:endnote w:type="continuationSeparator" w:id="0">
    <w:p w:rsidR="00C442B0" w:rsidRDefault="00C442B0" w:rsidP="00C44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950380"/>
      <w:docPartObj>
        <w:docPartGallery w:val="Page Numbers (Bottom of Page)"/>
        <w:docPartUnique/>
      </w:docPartObj>
    </w:sdtPr>
    <w:sdtContent>
      <w:p w:rsidR="005C2A2B" w:rsidRDefault="00376C44">
        <w:pPr>
          <w:pStyle w:val="a5"/>
          <w:jc w:val="right"/>
        </w:pPr>
        <w:fldSimple w:instr=" PAGE   \* MERGEFORMAT ">
          <w:r w:rsidR="00E902AB">
            <w:rPr>
              <w:noProof/>
            </w:rPr>
            <w:t>133</w:t>
          </w:r>
        </w:fldSimple>
      </w:p>
    </w:sdtContent>
  </w:sdt>
  <w:p w:rsidR="00C442B0" w:rsidRDefault="00C442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2B0" w:rsidRDefault="00C442B0" w:rsidP="00C442B0">
      <w:r>
        <w:separator/>
      </w:r>
    </w:p>
  </w:footnote>
  <w:footnote w:type="continuationSeparator" w:id="0">
    <w:p w:rsidR="00C442B0" w:rsidRDefault="00C442B0" w:rsidP="00C44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675055"/>
      <w:docPartObj>
        <w:docPartGallery w:val="Page Numbers (Top of Page)"/>
        <w:docPartUnique/>
      </w:docPartObj>
    </w:sdtPr>
    <w:sdtContent>
      <w:p w:rsidR="00C442B0" w:rsidRDefault="00376C44">
        <w:pPr>
          <w:pStyle w:val="a3"/>
          <w:jc w:val="right"/>
        </w:pPr>
        <w:fldSimple w:instr=" PAGE   \* MERGEFORMAT ">
          <w:r w:rsidR="00E902AB">
            <w:rPr>
              <w:noProof/>
            </w:rPr>
            <w:t>133</w:t>
          </w:r>
        </w:fldSimple>
      </w:p>
    </w:sdtContent>
  </w:sdt>
  <w:p w:rsidR="00C442B0" w:rsidRDefault="00C442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730"/>
    <w:rsid w:val="000B30BD"/>
    <w:rsid w:val="00124730"/>
    <w:rsid w:val="00232FA0"/>
    <w:rsid w:val="00376C44"/>
    <w:rsid w:val="005C2A2B"/>
    <w:rsid w:val="005D6A35"/>
    <w:rsid w:val="00974B15"/>
    <w:rsid w:val="00A76D38"/>
    <w:rsid w:val="00C442B0"/>
    <w:rsid w:val="00E90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247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</w:rPr>
  </w:style>
  <w:style w:type="paragraph" w:customStyle="1" w:styleId="ConsPlusNonformat">
    <w:name w:val="ConsPlusNonformat"/>
    <w:uiPriority w:val="99"/>
    <w:rsid w:val="001247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12473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able">
    <w:name w:val="Table!Таблица"/>
    <w:uiPriority w:val="99"/>
    <w:rsid w:val="00124730"/>
    <w:pPr>
      <w:spacing w:after="0" w:line="240" w:lineRule="auto"/>
    </w:pPr>
    <w:rPr>
      <w:rFonts w:ascii="Arial" w:eastAsia="Calibri" w:hAnsi="Arial" w:cs="Arial"/>
      <w:bCs/>
      <w:kern w:val="28"/>
      <w:sz w:val="24"/>
      <w:szCs w:val="32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24730"/>
    <w:rPr>
      <w:rFonts w:ascii="Arial" w:eastAsia="Calibri" w:hAnsi="Arial" w:cs="Times New Roman"/>
    </w:rPr>
  </w:style>
  <w:style w:type="paragraph" w:styleId="a3">
    <w:name w:val="header"/>
    <w:basedOn w:val="a"/>
    <w:link w:val="a4"/>
    <w:uiPriority w:val="99"/>
    <w:unhideWhenUsed/>
    <w:rsid w:val="00C442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4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42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42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B5651-8691-49EA-AF98-B2695D03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2350</Characters>
  <Application>Microsoft Office Word</Application>
  <DocSecurity>0</DocSecurity>
  <Lines>19</Lines>
  <Paragraphs>5</Paragraphs>
  <ScaleCrop>false</ScaleCrop>
  <Company>Krokoz™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5</cp:revision>
  <dcterms:created xsi:type="dcterms:W3CDTF">2019-11-15T07:43:00Z</dcterms:created>
  <dcterms:modified xsi:type="dcterms:W3CDTF">2019-11-16T11:13:00Z</dcterms:modified>
</cp:coreProperties>
</file>